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77777777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miesięcy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0A114AA0" w:rsidR="00291F31" w:rsidRPr="009B78BD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-części nieruchomości niezabudowanej stanowiącej własność Miasta Rzeszowa, zlokalizowanej przy ul. </w:t>
      </w:r>
      <w:r w:rsidR="00361D0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Jałowego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23a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 obrębie  basenów otwartych o powierzchni łącznej </w:t>
      </w:r>
      <w:r w:rsidR="00F942B3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16</w:t>
      </w:r>
      <w:r w:rsidR="00C20DCA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m²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i składającej się z części</w:t>
      </w:r>
      <w:r w:rsidR="00990F06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dział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990F06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990F06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869/19 obręb 207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KW  </w:t>
      </w:r>
      <w:r w:rsidR="00BA688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nr RZ1Z/00016164/8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 z przeznaczeniem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usytuow</w:t>
      </w:r>
      <w:r w:rsidR="007D1056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anie pojazdów  typu food truck </w:t>
      </w:r>
      <w:r w:rsidR="004C7E64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oferujących usługi gastronomiczne.</w:t>
      </w:r>
    </w:p>
    <w:p w14:paraId="76CC7E22" w14:textId="4A9915C6" w:rsidR="00345F1C" w:rsidRPr="009B78BD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Przedmiotem przetargu będą </w:t>
      </w:r>
      <w:r w:rsidR="00F942B3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stanowiska food truck o pow. 40m² każdy</w:t>
      </w:r>
      <w:r w:rsidR="009C6566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, oznaczone numerem </w:t>
      </w:r>
      <w:r w:rsidR="00F942B3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1,2,3</w:t>
      </w:r>
      <w:r w:rsidR="009C6566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i 4</w:t>
      </w:r>
      <w:r w:rsid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9C6566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załączniku graficznym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4C7E64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Każde stanowisko będzie przedmiotem odrębnego przetargu (II etap).</w:t>
      </w:r>
    </w:p>
    <w:p w14:paraId="1E0FE35A" w14:textId="280A0A09" w:rsidR="00345F1C" w:rsidRPr="009B78BD" w:rsidRDefault="00990F0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Dzierżawa zawarta będzie na okres tzw. se</w:t>
      </w:r>
      <w:r w:rsidR="006829D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zonu w okresie od </w:t>
      </w:r>
      <w:r w:rsidR="00F7072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0</w:t>
      </w:r>
      <w:r w:rsidR="00F7072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czerwca do </w:t>
      </w:r>
      <w:r w:rsidR="00A06CD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3</w:t>
      </w:r>
      <w:r w:rsidR="00F70722" w:rsidRPr="0037032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września</w:t>
      </w:r>
      <w:r w:rsidR="00F7072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202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3 </w:t>
      </w:r>
      <w:r w:rsidR="00F7072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r.</w:t>
      </w:r>
    </w:p>
    <w:p w14:paraId="6291B70E" w14:textId="02B78005" w:rsidR="00345F1C" w:rsidRPr="009B78BD" w:rsidRDefault="007D105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Wysokość wadium</w:t>
      </w:r>
      <w:r w:rsidRPr="00A03A47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: </w:t>
      </w:r>
      <w:r w:rsidR="00A03A47" w:rsidRPr="00A03A47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7</w:t>
      </w:r>
      <w:r w:rsidRPr="00A03A47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00,00</w:t>
      </w:r>
      <w:r w:rsidR="00A03A47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345F1C" w:rsidRPr="00A03A47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zł</w:t>
      </w:r>
    </w:p>
    <w:p w14:paraId="0B28793E" w14:textId="08E53E13" w:rsidR="00345F1C" w:rsidRPr="009B78BD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–składanie koncepcji (wizualizacji) food trucka</w:t>
      </w:r>
      <w:r w:rsidR="006829D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zgodnej z wytycznymi 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Komisji</w:t>
      </w:r>
      <w:r w:rsidR="00BB4930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ds. Estetyki Przestrzennej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 Rewitalizacji Obszarów Miejskich, podtrzymanymi przez Zespół ds. Rozwoju Przestrzennego Miasta Rzeszowa</w:t>
      </w:r>
      <w:r w:rsidR="006829D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:</w:t>
      </w:r>
    </w:p>
    <w:p w14:paraId="2ABFFB3E" w14:textId="77777777" w:rsidR="006829D2" w:rsidRPr="009B78BD" w:rsidRDefault="006829D2" w:rsidP="006829D2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Kolorystyka pojazdów powinna być jednolita, w neutralnych, jasnych i nienasyconych barwach, preferowany</w:t>
      </w:r>
      <w:r w:rsidR="00871E7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kolor to </w:t>
      </w:r>
      <w:proofErr w:type="spellStart"/>
      <w:r w:rsidR="00871E7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ecru</w:t>
      </w:r>
      <w:proofErr w:type="spellEnd"/>
      <w:r w:rsidR="00871E7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RAL1014, ewentualnie biały RAL9010, oraz jasnoszary RAL7035. Wyklucza się stosowanie kolorów ciemnych i nasyconych.</w:t>
      </w:r>
    </w:p>
    <w:p w14:paraId="22164A73" w14:textId="1A5F6DAD" w:rsidR="00871E7E" w:rsidRPr="009B78BD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Dopuszcza się umieszczenie na karoserii grafiki identyfikującej markę lub produkt o powierzchni nie większej niż 25% powierzchni frontowej (handlowej) pojazdu.</w:t>
      </w:r>
    </w:p>
    <w:p w14:paraId="4C32D7D9" w14:textId="77777777" w:rsidR="00871E7E" w:rsidRPr="009B78BD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Dopuszcza się umieszczenie menu w formie tablicy o maksymalnym formacie A2 na pojeździe. Wyklucza się możliwość ustawiania przenośnych tablic menu wokół pojazdu.</w:t>
      </w:r>
    </w:p>
    <w:p w14:paraId="558F70E7" w14:textId="46A0B9FD" w:rsidR="00871E7E" w:rsidRPr="009B78BD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dopuszcza się umieszczania nośników reklamowych wolnostojących wokół pojazdu</w:t>
      </w:r>
      <w:r w:rsidR="00F84B7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ani na pojeździe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(np. banery</w:t>
      </w:r>
      <w:r w:rsidR="008522F8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tablice, litery przestrzenne na karoserii i dachu).</w:t>
      </w:r>
    </w:p>
    <w:p w14:paraId="7AEB3C49" w14:textId="77777777" w:rsidR="008522F8" w:rsidRPr="009B78BD" w:rsidRDefault="008522F8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Należy zapewnić jeden pojemnik na śmieci w obrębie punktu gastronomicznego, w kolorze zbliżonym do koloru pojazdu.</w:t>
      </w:r>
    </w:p>
    <w:p w14:paraId="2D74ABB7" w14:textId="28197B44" w:rsidR="008522F8" w:rsidRPr="009B78BD" w:rsidRDefault="008522F8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Dopuszcza się zlokalizowanie w zaakceptowanym przez ROSiR rejonie dzierżawionego terenu </w:t>
      </w:r>
      <w:r w:rsidR="00F84B7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dwóch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parasoli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kolorystyce jednolitej lub np. w pasy, ale nawiązującej do kolorystyki pojazdu,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bez elementów reklamowych. Wygląd parasoli powinien zostać zawarty w ww. koncepcji.</w:t>
      </w:r>
    </w:p>
    <w:p w14:paraId="6FEC543C" w14:textId="77777777" w:rsidR="008522F8" w:rsidRPr="009B78BD" w:rsidRDefault="008522F8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dopuszcza się lokalizowania wolnostojących/otwartych miejsc wydawania napojów i posiłków, np. otwarte grille, paleniska, nalewaki.</w:t>
      </w:r>
    </w:p>
    <w:p w14:paraId="586869F2" w14:textId="7310F283" w:rsidR="00345F1C" w:rsidRPr="009B78BD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Koncepcję (wizualizację)  food trucka uczestnik przetargu powinien dostarczyć do sekretariatu ROSiR</w:t>
      </w:r>
      <w:r w:rsidR="00181CE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pokój nr 7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przy ul. Ks. J. Jałowego 23A  do dnia</w:t>
      </w:r>
      <w:r w:rsidR="00181CE7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37032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24</w:t>
      </w:r>
      <w:r w:rsidR="00181CE7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.0</w:t>
      </w:r>
      <w:r w:rsidR="00641808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3</w:t>
      </w:r>
      <w:r w:rsidR="00181CE7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.20</w:t>
      </w:r>
      <w:r w:rsidR="002B15A9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2</w:t>
      </w:r>
      <w:r w:rsidR="007406D7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3 </w:t>
      </w:r>
      <w:r w:rsidR="00181CE7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r. </w:t>
      </w:r>
      <w:r w:rsidR="00181CE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godziny </w:t>
      </w:r>
      <w:r w:rsidR="00181CE7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15.00</w:t>
      </w:r>
      <w:r w:rsidR="00BB4930" w:rsidRPr="009B78BD">
        <w:rPr>
          <w:rFonts w:ascii="Verdana" w:eastAsia="Lucida Sans Unicode" w:hAnsi="Verdana" w:cs="Times New Roman"/>
          <w:b/>
          <w:color w:val="FF0000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celem jej akceptacji.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O ewentualnej akceptacji oferenci zostaną poinformowani przed drugim etapem przetargu. </w:t>
      </w:r>
    </w:p>
    <w:p w14:paraId="38B55556" w14:textId="77777777" w:rsidR="00345F1C" w:rsidRPr="009B78BD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II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–przetarg ustny </w:t>
      </w:r>
      <w:r w:rsidR="004C7E64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(licytacja)</w:t>
      </w:r>
    </w:p>
    <w:p w14:paraId="1F9797B7" w14:textId="233D06D2" w:rsidR="006C6562" w:rsidRPr="009B78BD" w:rsidRDefault="00345F1C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drugiego etapu dopuszczeni zostaną </w:t>
      </w:r>
      <w:r w:rsidR="00F84B7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ferenci, których  koncepcja foo</w:t>
      </w:r>
      <w:r w:rsidR="00BB4930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</w:t>
      </w:r>
      <w:r w:rsidR="007F6E89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trucka zostanie zaakceptowana</w:t>
      </w:r>
      <w:r w:rsidR="00181CE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 terminie Etapu II zostaną oni poinformowani</w:t>
      </w:r>
      <w:r w:rsidR="00BB4930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drogą mailową na wskazany przez </w:t>
      </w:r>
      <w:r w:rsidR="00F84B7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="00BB4930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ferenta adres.</w:t>
      </w:r>
      <w:r w:rsidR="006C6562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</w:p>
    <w:p w14:paraId="15A4084C" w14:textId="32AF07B1" w:rsidR="006C6562" w:rsidRDefault="006C6562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Kwota wywoławcza czynszu netto wynosi : </w:t>
      </w:r>
      <w:r w:rsidR="00A03A47" w:rsidRPr="00A03A47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</w:t>
      </w:r>
      <w:r w:rsidRPr="00A03A47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000,00 zł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/ </w:t>
      </w:r>
      <w:r w:rsidR="0037032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sezon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/ 1 stanowisko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przy czym każde stanowisko będzie licytowane odrębnie.</w:t>
      </w:r>
      <w:r w:rsidR="00F84B7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</w:p>
    <w:p w14:paraId="7FC6D33C" w14:textId="637D93ED" w:rsidR="00F84B7A" w:rsidRPr="009B78BD" w:rsidRDefault="00F84B7A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i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postąpienia wynosi nie mniej niż </w:t>
      </w:r>
      <w:r w:rsidRPr="00F84B7A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40,00 zł netto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za jedno stanowisko.</w:t>
      </w:r>
    </w:p>
    <w:p w14:paraId="50DF03A8" w14:textId="6062C416" w:rsidR="00345F1C" w:rsidRPr="009B78BD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 zaproponowanej stawki czynszu będzie doliczone 23 % podatku VAT</w:t>
      </w:r>
      <w:r w:rsidR="00E71395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Oprócz czynszu dzierżawca zobowiązany jest uiścić bezpośrednio do kasy Urzędu Miasta Rzeszowa należny podatek od nieruchomości za dzierżawiony grunt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Nieruchomoś</w:t>
      </w:r>
      <w:r w:rsidR="00E71395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ć </w:t>
      </w:r>
      <w:r w:rsidR="00BA688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posiada dostępu do mediów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</w:t>
      </w:r>
      <w:r w:rsidR="00E71395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za wyjątkiem instalacji elektrycznej</w:t>
      </w:r>
      <w:r w:rsidR="009B78BD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9B78BD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oszty </w:t>
      </w:r>
      <w:r w:rsidR="009B78BD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za wykorzystaną energię elektryczną ponosi dzierżawca wg wskazań licznika</w:t>
      </w:r>
      <w:r w:rsidR="00E71395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Dzierżawca będzie </w:t>
      </w:r>
      <w:r w:rsidR="009B78BD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lastRenderedPageBreak/>
        <w:t xml:space="preserve">również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zobowiązany do zawarcia </w:t>
      </w:r>
      <w:r w:rsidR="00361D0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odrębnej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umowy </w:t>
      </w:r>
      <w:r w:rsidR="00361D0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 odbiorcą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nieczystości.</w:t>
      </w:r>
    </w:p>
    <w:p w14:paraId="169C18C7" w14:textId="77777777" w:rsidR="00E321C9" w:rsidRPr="009B78BD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D6F4E79" w14:textId="7502A578" w:rsidR="00E321C9" w:rsidRPr="00D90421" w:rsidRDefault="00BB4930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Warunkiem udziału w przetargu jest wpłacenie przez oferentów dopuszczonych do II etapu (przetarg) wadium w terminie </w:t>
      </w:r>
      <w:r w:rsidR="009B78BD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nie później niż 2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dni </w:t>
      </w:r>
      <w:r w:rsidR="009B78BD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przed dniem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przetarg</w:t>
      </w:r>
      <w:r w:rsidR="009B78BD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(liczy się data wpływu).</w:t>
      </w:r>
      <w:r w:rsidR="00E321C9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Wpłaty należy dokonać na rachunek bankowy</w:t>
      </w:r>
      <w:r w:rsidR="00181CE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ROSiR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674F3B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90 1020 4391 0000 6502 0145 0469</w:t>
      </w:r>
      <w:r w:rsidR="00D90421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tytułem: „</w:t>
      </w:r>
      <w:r w:rsidR="00D90421" w:rsidRPr="00D90421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Przetarg ustny ograniczony na dzierżawę powierzchni w obrębie basenów otwartych</w:t>
      </w:r>
      <w:r w:rsidR="00D90421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”</w:t>
      </w:r>
    </w:p>
    <w:p w14:paraId="32228366" w14:textId="77777777" w:rsidR="00E321C9" w:rsidRPr="009B78BD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117BB3D" w14:textId="49241F26" w:rsidR="00E321C9" w:rsidRPr="009B78BD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Przystępujący do przetargu jest obowiązany przedłożyć Komisji P</w:t>
      </w:r>
      <w:r w:rsidR="00181CE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rzetargowej dokumenty określone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Regulaminie Przetargów ROSiR</w:t>
      </w:r>
      <w:r w:rsidR="009B78BD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</w:t>
      </w:r>
      <w:r w:rsidR="009B78BD" w:rsidRPr="009B78BD">
        <w:rPr>
          <w:rFonts w:ascii="Verdana" w:hAnsi="Verdana"/>
          <w:sz w:val="18"/>
          <w:szCs w:val="18"/>
        </w:rPr>
        <w:t>tj. wypełnione oświadczenie, dowód wniesienia wadium oraz odpis</w:t>
      </w:r>
      <w:r w:rsidR="009B78BD">
        <w:rPr>
          <w:rFonts w:ascii="Verdana" w:hAnsi="Verdana"/>
          <w:sz w:val="18"/>
          <w:szCs w:val="18"/>
        </w:rPr>
        <w:br/>
      </w:r>
      <w:r w:rsidR="009B78BD" w:rsidRPr="009B78BD">
        <w:rPr>
          <w:rFonts w:ascii="Verdana" w:hAnsi="Verdana"/>
          <w:sz w:val="18"/>
          <w:szCs w:val="18"/>
        </w:rPr>
        <w:t>z właściwego rejestru lub Centralnej Ewidencji i Informacji o Działalności Gospodarczej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.  </w:t>
      </w:r>
      <w:r w:rsidR="00E321C9" w:rsidRPr="009B78BD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Komplet dokumentów oferenci dopuszczeni do drugiego etapu powinni dostarczyć do siedziby ROSiR </w:t>
      </w:r>
      <w:r w:rsidR="00E321C9" w:rsidRPr="009B78BD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do dnia</w:t>
      </w:r>
      <w:r w:rsidR="00E321C9" w:rsidRPr="009B78BD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</w:t>
      </w:r>
      <w:r w:rsidR="00E321C9" w:rsidRPr="009B78BD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 xml:space="preserve"> poprzedzającego przetarg do godz.</w:t>
      </w:r>
      <w:r w:rsidR="009B78BD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 xml:space="preserve"> </w:t>
      </w:r>
      <w:r w:rsidR="00E321C9" w:rsidRPr="009B78BD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10</w:t>
      </w:r>
      <w:r w:rsidR="009B78BD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:</w:t>
      </w:r>
      <w:r w:rsidR="00E321C9" w:rsidRPr="009B78BD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00</w:t>
      </w:r>
    </w:p>
    <w:p w14:paraId="36771589" w14:textId="77777777" w:rsidR="00345F1C" w:rsidRPr="009B78BD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 przetargu nie mogą brać udziału podmioty zalegające z opłatami (w tym czynszowymi) na rzecz Miasta Rzeszowa. </w:t>
      </w:r>
    </w:p>
    <w:p w14:paraId="118204B6" w14:textId="54E43826" w:rsidR="00345F1C" w:rsidRPr="009B78BD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Informacje o prz</w:t>
      </w:r>
      <w:r w:rsidR="00E12A84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etargu można uzyskać w godz. 9.00-14.0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0 w sekretariacie ROSiR ul. ks. Jałowego 23A </w:t>
      </w:r>
      <w:r w:rsidR="00E12A84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                            </w:t>
      </w:r>
      <w:r w:rsidR="00B855F1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tel. 017</w:t>
      </w:r>
      <w:r w:rsidR="00C20DCA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 748 15 15</w:t>
      </w:r>
      <w:r w:rsidR="00B855F1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W terminie 3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dni </w:t>
      </w:r>
      <w:r w:rsidR="00B855F1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roboczych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od daty rozstrzygnięcia przetargu należy zawrzeć umowę dzierżawy.</w:t>
      </w:r>
    </w:p>
    <w:p w14:paraId="43FB68B9" w14:textId="17E9C2F4" w:rsidR="00C35930" w:rsidRPr="009B78BD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Wadium wpłacone przez uczestnika przetargu, który przetarg wygra zostanie zaliczone na </w:t>
      </w:r>
      <w:r w:rsidR="00E71395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poczet </w:t>
      </w:r>
      <w:r w:rsidR="00F84B7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pierwszej raty </w:t>
      </w:r>
      <w:r w:rsidR="00E71395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czynsz</w:t>
      </w:r>
      <w:r w:rsidR="00F84B7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. Pozostałym uczestnikom przetargu wadium zostanie zwrócone </w:t>
      </w:r>
      <w:r w:rsidR="00BB4930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niezwłocznie po zamknięciu przetargu.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Wadium podlega zwrotowi w przypadku odwołania lub unieważnienia przetargu. Zastrzega się prawo odstąpienia od przetargu lub jego unieważnienia bez podania przyczyn.</w:t>
      </w:r>
    </w:p>
    <w:sectPr w:rsidR="00C35930" w:rsidRPr="009B78BD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3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181CE7"/>
    <w:rsid w:val="00291F31"/>
    <w:rsid w:val="002B15A9"/>
    <w:rsid w:val="002B674C"/>
    <w:rsid w:val="002E6F30"/>
    <w:rsid w:val="002F565F"/>
    <w:rsid w:val="00345F1C"/>
    <w:rsid w:val="00346991"/>
    <w:rsid w:val="00361D0E"/>
    <w:rsid w:val="0037032F"/>
    <w:rsid w:val="004C7E64"/>
    <w:rsid w:val="00520294"/>
    <w:rsid w:val="00530B87"/>
    <w:rsid w:val="0060526D"/>
    <w:rsid w:val="00641808"/>
    <w:rsid w:val="00674F3B"/>
    <w:rsid w:val="0067550C"/>
    <w:rsid w:val="006829D2"/>
    <w:rsid w:val="006C6562"/>
    <w:rsid w:val="006D639D"/>
    <w:rsid w:val="006E1CC8"/>
    <w:rsid w:val="007177EC"/>
    <w:rsid w:val="007406D7"/>
    <w:rsid w:val="007D1056"/>
    <w:rsid w:val="007E262F"/>
    <w:rsid w:val="007F6E89"/>
    <w:rsid w:val="008522F8"/>
    <w:rsid w:val="00871E7E"/>
    <w:rsid w:val="00990F06"/>
    <w:rsid w:val="009B78BD"/>
    <w:rsid w:val="009C6566"/>
    <w:rsid w:val="00A03A47"/>
    <w:rsid w:val="00A06CDF"/>
    <w:rsid w:val="00AD5273"/>
    <w:rsid w:val="00B855F1"/>
    <w:rsid w:val="00BA6887"/>
    <w:rsid w:val="00BB4930"/>
    <w:rsid w:val="00C20DCA"/>
    <w:rsid w:val="00CE389B"/>
    <w:rsid w:val="00D77775"/>
    <w:rsid w:val="00D90421"/>
    <w:rsid w:val="00DB521A"/>
    <w:rsid w:val="00E12A84"/>
    <w:rsid w:val="00E321C9"/>
    <w:rsid w:val="00E71395"/>
    <w:rsid w:val="00E868FB"/>
    <w:rsid w:val="00EC4E1C"/>
    <w:rsid w:val="00F70722"/>
    <w:rsid w:val="00F80A49"/>
    <w:rsid w:val="00F84B7A"/>
    <w:rsid w:val="00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30</cp:revision>
  <cp:lastPrinted>2023-03-14T10:39:00Z</cp:lastPrinted>
  <dcterms:created xsi:type="dcterms:W3CDTF">2018-05-04T06:59:00Z</dcterms:created>
  <dcterms:modified xsi:type="dcterms:W3CDTF">2023-03-15T10:38:00Z</dcterms:modified>
</cp:coreProperties>
</file>